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930E" w14:textId="77777777" w:rsidR="00DE4DFD" w:rsidRDefault="00DE4DFD" w:rsidP="00F4767E">
      <w:pPr>
        <w:jc w:val="center"/>
      </w:pPr>
    </w:p>
    <w:p w14:paraId="5BB6D6DE" w14:textId="77777777" w:rsidR="00156534" w:rsidRDefault="00156534" w:rsidP="00156534">
      <w:pPr>
        <w:jc w:val="center"/>
      </w:pPr>
    </w:p>
    <w:p w14:paraId="4611E478" w14:textId="37769820" w:rsidR="00156534" w:rsidRPr="00156534" w:rsidRDefault="00156534" w:rsidP="00156534">
      <w:pPr>
        <w:jc w:val="center"/>
        <w:rPr>
          <w:b/>
          <w:bCs/>
        </w:rPr>
      </w:pPr>
      <w:r w:rsidRPr="00156534">
        <w:rPr>
          <w:b/>
          <w:bCs/>
        </w:rPr>
        <w:t>Accounting</w:t>
      </w:r>
    </w:p>
    <w:p w14:paraId="3F5B556E" w14:textId="77777777" w:rsidR="00DE4DFD" w:rsidRDefault="00DE4DFD" w:rsidP="00F4767E">
      <w:pPr>
        <w:jc w:val="center"/>
      </w:pPr>
    </w:p>
    <w:p w14:paraId="2DE93288" w14:textId="77777777" w:rsidR="00DE4DFD" w:rsidRDefault="00DE4DFD" w:rsidP="00F4767E">
      <w:pPr>
        <w:jc w:val="center"/>
      </w:pPr>
    </w:p>
    <w:p w14:paraId="66444F84" w14:textId="77777777" w:rsidR="00DE4DFD" w:rsidRDefault="00DE4DFD" w:rsidP="00F4767E">
      <w:pPr>
        <w:jc w:val="center"/>
      </w:pPr>
    </w:p>
    <w:p w14:paraId="65AB5910" w14:textId="77777777" w:rsidR="00DE4DFD" w:rsidRDefault="00DE4DFD" w:rsidP="00F4767E">
      <w:pPr>
        <w:jc w:val="center"/>
      </w:pPr>
    </w:p>
    <w:p w14:paraId="79849A0B" w14:textId="77777777" w:rsidR="00DE4DFD" w:rsidRDefault="00DE4DFD" w:rsidP="00F4767E">
      <w:pPr>
        <w:jc w:val="center"/>
      </w:pPr>
    </w:p>
    <w:p w14:paraId="6F169307" w14:textId="77777777" w:rsidR="00DE4DFD" w:rsidRDefault="00DE4DFD" w:rsidP="00F4767E">
      <w:pPr>
        <w:jc w:val="center"/>
      </w:pPr>
    </w:p>
    <w:p w14:paraId="1252DDEF" w14:textId="77777777" w:rsidR="00156534" w:rsidRPr="00003D27" w:rsidRDefault="00156534" w:rsidP="00156534">
      <w:pPr>
        <w:spacing w:after="0"/>
        <w:ind w:firstLine="720"/>
        <w:jc w:val="center"/>
        <w:rPr>
          <w:rFonts w:eastAsia="Times New Roman" w:cs="Times New Roman"/>
          <w:color w:val="0E101A"/>
          <w:szCs w:val="24"/>
        </w:rPr>
      </w:pPr>
      <w:r w:rsidRPr="00003D27">
        <w:rPr>
          <w:rFonts w:eastAsia="Times New Roman" w:cs="Times New Roman"/>
          <w:color w:val="0E101A"/>
          <w:szCs w:val="24"/>
        </w:rPr>
        <w:t>Student’s Name</w:t>
      </w:r>
    </w:p>
    <w:p w14:paraId="1018C390" w14:textId="77777777" w:rsidR="00156534" w:rsidRPr="00003D27" w:rsidRDefault="00156534" w:rsidP="00156534">
      <w:pPr>
        <w:spacing w:after="0"/>
        <w:ind w:firstLine="720"/>
        <w:jc w:val="center"/>
        <w:rPr>
          <w:rFonts w:eastAsia="Times New Roman" w:cs="Times New Roman"/>
          <w:color w:val="0E101A"/>
          <w:szCs w:val="24"/>
        </w:rPr>
      </w:pPr>
      <w:r w:rsidRPr="00003D27">
        <w:rPr>
          <w:rFonts w:eastAsia="Times New Roman" w:cs="Times New Roman"/>
          <w:color w:val="0E101A"/>
          <w:szCs w:val="24"/>
        </w:rPr>
        <w:t xml:space="preserve">Institutional Affiliation </w:t>
      </w:r>
    </w:p>
    <w:p w14:paraId="21132576" w14:textId="77777777" w:rsidR="00156534" w:rsidRPr="00003D27" w:rsidRDefault="00156534" w:rsidP="00156534">
      <w:pPr>
        <w:spacing w:after="0"/>
        <w:ind w:firstLine="720"/>
        <w:jc w:val="center"/>
        <w:rPr>
          <w:rFonts w:eastAsia="Times New Roman" w:cs="Times New Roman"/>
          <w:color w:val="0E101A"/>
          <w:szCs w:val="24"/>
        </w:rPr>
      </w:pPr>
      <w:r w:rsidRPr="00003D27">
        <w:rPr>
          <w:rFonts w:eastAsia="Times New Roman" w:cs="Times New Roman"/>
          <w:color w:val="0E101A"/>
          <w:szCs w:val="24"/>
        </w:rPr>
        <w:t>Date</w:t>
      </w:r>
    </w:p>
    <w:p w14:paraId="3FB446B1" w14:textId="77777777" w:rsidR="00DE4DFD" w:rsidRDefault="00DE4DFD" w:rsidP="00F4767E">
      <w:r>
        <w:br w:type="page"/>
      </w:r>
    </w:p>
    <w:p w14:paraId="39A0555F" w14:textId="77777777" w:rsidR="004D5F01" w:rsidRPr="004D5F01" w:rsidRDefault="004D5F01" w:rsidP="004D5F01">
      <w:pPr>
        <w:spacing w:after="0"/>
        <w:jc w:val="center"/>
        <w:rPr>
          <w:rFonts w:eastAsia="Times New Roman" w:cs="Times New Roman"/>
          <w:b/>
          <w:bCs/>
          <w:color w:val="0E101A"/>
          <w:szCs w:val="24"/>
        </w:rPr>
      </w:pPr>
      <w:r w:rsidRPr="004D5F01">
        <w:rPr>
          <w:rFonts w:eastAsia="Times New Roman" w:cs="Times New Roman"/>
          <w:b/>
          <w:bCs/>
          <w:color w:val="0E101A"/>
          <w:szCs w:val="24"/>
        </w:rPr>
        <w:lastRenderedPageBreak/>
        <w:t>Accounting</w:t>
      </w:r>
    </w:p>
    <w:p w14:paraId="02436496" w14:textId="105DFB49" w:rsidR="004D5F01" w:rsidRPr="004D5F01" w:rsidRDefault="004D5F01" w:rsidP="00156534">
      <w:pPr>
        <w:spacing w:after="0"/>
        <w:jc w:val="center"/>
        <w:rPr>
          <w:rFonts w:eastAsia="Times New Roman" w:cs="Times New Roman"/>
          <w:color w:val="0E101A"/>
          <w:szCs w:val="24"/>
        </w:rPr>
      </w:pPr>
      <w:r w:rsidRPr="004D5F01">
        <w:rPr>
          <w:rFonts w:eastAsia="Times New Roman" w:cs="Times New Roman"/>
          <w:b/>
          <w:bCs/>
          <w:color w:val="0E101A"/>
          <w:szCs w:val="24"/>
        </w:rPr>
        <w:t>Brief History of the IASB</w:t>
      </w:r>
    </w:p>
    <w:p w14:paraId="6E76827D" w14:textId="77777777" w:rsidR="004D5F01" w:rsidRPr="004D5F01" w:rsidRDefault="004D5F01" w:rsidP="004D5F01">
      <w:pPr>
        <w:spacing w:after="0"/>
        <w:ind w:firstLine="720"/>
        <w:rPr>
          <w:rFonts w:eastAsia="Times New Roman" w:cs="Times New Roman"/>
          <w:color w:val="0E101A"/>
          <w:szCs w:val="24"/>
        </w:rPr>
      </w:pPr>
      <w:r w:rsidRPr="004D5F01">
        <w:rPr>
          <w:rFonts w:eastAsia="Times New Roman" w:cs="Times New Roman"/>
          <w:color w:val="0E101A"/>
          <w:szCs w:val="24"/>
        </w:rPr>
        <w:t>The International Accounting Standards Board (IASB) refers to a self-governing, private-sector corporation mandated to develop and approve International Financial Reporting Standards (IFRSs). It functions under the supervision of the IFRS Foundation. The organization was founded in 2001 as a replacement for the International Accounting Standards Committee (IASC). Contemporarily, it has 14 members. The IASB has various roles. Firstly, it approves and issues interpretations created by the IFRS Interpretations Committee (Mota et al., 2020). Secondly, it prepares and gives IFRSs and exposure drafts as outlined by the due process specified in the Constitution.</w:t>
      </w:r>
    </w:p>
    <w:p w14:paraId="5378F7DD" w14:textId="77777777" w:rsidR="004D5F01" w:rsidRPr="004D5F01" w:rsidRDefault="004D5F01" w:rsidP="00156534">
      <w:pPr>
        <w:spacing w:after="0"/>
        <w:jc w:val="center"/>
        <w:rPr>
          <w:rFonts w:eastAsia="Times New Roman" w:cs="Times New Roman"/>
          <w:color w:val="0E101A"/>
          <w:szCs w:val="24"/>
        </w:rPr>
      </w:pPr>
      <w:r w:rsidRPr="004D5F01">
        <w:rPr>
          <w:rFonts w:eastAsia="Times New Roman" w:cs="Times New Roman"/>
          <w:b/>
          <w:bCs/>
          <w:color w:val="0E101A"/>
          <w:szCs w:val="24"/>
        </w:rPr>
        <w:t>Structure of IASB</w:t>
      </w:r>
    </w:p>
    <w:p w14:paraId="62C9ACD4" w14:textId="77777777" w:rsidR="004D5F01" w:rsidRPr="004D5F01" w:rsidRDefault="004D5F01" w:rsidP="004D5F01">
      <w:pPr>
        <w:spacing w:after="0"/>
        <w:rPr>
          <w:rFonts w:eastAsia="Times New Roman" w:cs="Times New Roman"/>
          <w:color w:val="0E101A"/>
          <w:szCs w:val="24"/>
        </w:rPr>
      </w:pPr>
      <w:r w:rsidRPr="004D5F01">
        <w:rPr>
          <w:rFonts w:eastAsia="Times New Roman" w:cs="Times New Roman"/>
          <w:color w:val="0E101A"/>
          <w:szCs w:val="24"/>
        </w:rPr>
        <w:t>      The IASB structure has various main features. Foremost, the IASC Foundation is a sovereign corporation with two primary bodies: the IASB, a Standards Advisory Council, the Trustees, and the International Financial Reporting Interpretations Committee. Also, the IASB has the IASC Foundation Trustees that hire the IASB members, apply oversight, and provide the needed funds.</w:t>
      </w:r>
    </w:p>
    <w:p w14:paraId="6DF82F28" w14:textId="69BFDDA7" w:rsidR="004D5F01" w:rsidRPr="004D5F01" w:rsidRDefault="004D5F01" w:rsidP="00A675CF">
      <w:pPr>
        <w:spacing w:after="0"/>
        <w:jc w:val="center"/>
        <w:rPr>
          <w:rFonts w:eastAsia="Times New Roman" w:cs="Times New Roman"/>
          <w:color w:val="0E101A"/>
          <w:szCs w:val="24"/>
        </w:rPr>
      </w:pPr>
      <w:r w:rsidRPr="004D5F01">
        <w:rPr>
          <w:rFonts w:eastAsia="Times New Roman" w:cs="Times New Roman"/>
          <w:b/>
          <w:bCs/>
          <w:color w:val="0E101A"/>
          <w:szCs w:val="24"/>
        </w:rPr>
        <w:t xml:space="preserve">Differences </w:t>
      </w:r>
      <w:r w:rsidR="00A675CF" w:rsidRPr="004D5F01">
        <w:rPr>
          <w:rFonts w:eastAsia="Times New Roman" w:cs="Times New Roman"/>
          <w:b/>
          <w:bCs/>
          <w:color w:val="0E101A"/>
          <w:szCs w:val="24"/>
        </w:rPr>
        <w:t xml:space="preserve">Between Rules-Based </w:t>
      </w:r>
      <w:r w:rsidR="00A675CF">
        <w:rPr>
          <w:rFonts w:eastAsia="Times New Roman" w:cs="Times New Roman"/>
          <w:b/>
          <w:bCs/>
          <w:color w:val="0E101A"/>
          <w:szCs w:val="24"/>
        </w:rPr>
        <w:t>a</w:t>
      </w:r>
      <w:r w:rsidR="00A675CF" w:rsidRPr="004D5F01">
        <w:rPr>
          <w:rFonts w:eastAsia="Times New Roman" w:cs="Times New Roman"/>
          <w:b/>
          <w:bCs/>
          <w:color w:val="0E101A"/>
          <w:szCs w:val="24"/>
        </w:rPr>
        <w:t>nd Principle-Based Approaches</w:t>
      </w:r>
    </w:p>
    <w:p w14:paraId="6536122E" w14:textId="77777777" w:rsidR="004D5F01" w:rsidRPr="004D5F01" w:rsidRDefault="004D5F01" w:rsidP="004D5F01">
      <w:pPr>
        <w:spacing w:after="0"/>
        <w:rPr>
          <w:rFonts w:eastAsia="Times New Roman" w:cs="Times New Roman"/>
          <w:color w:val="0E101A"/>
          <w:szCs w:val="24"/>
        </w:rPr>
      </w:pPr>
      <w:r w:rsidRPr="004D5F01">
        <w:rPr>
          <w:rFonts w:eastAsia="Times New Roman" w:cs="Times New Roman"/>
          <w:color w:val="0E101A"/>
          <w:szCs w:val="24"/>
        </w:rPr>
        <w:t>      A rules-based approach and a principle-based approach are critical approaches used within accounting. They allocate rules that businesses have to follow during their operation. Conversely, they have specific differences. A rules-based system to regulation suggests the way organizations should behave. On the other hand, a principle-based approach to regulation is mandated to achieve the outcomes of every organization.</w:t>
      </w:r>
    </w:p>
    <w:p w14:paraId="66646A44" w14:textId="2736620D" w:rsidR="004D5F01" w:rsidRPr="004D5F01" w:rsidRDefault="004D5F01" w:rsidP="00A675CF">
      <w:pPr>
        <w:spacing w:after="0"/>
        <w:jc w:val="center"/>
        <w:rPr>
          <w:rFonts w:eastAsia="Times New Roman" w:cs="Times New Roman"/>
          <w:color w:val="0E101A"/>
          <w:szCs w:val="24"/>
        </w:rPr>
      </w:pPr>
      <w:r w:rsidRPr="004D5F01">
        <w:rPr>
          <w:rFonts w:eastAsia="Times New Roman" w:cs="Times New Roman"/>
          <w:b/>
          <w:bCs/>
          <w:color w:val="0E101A"/>
          <w:szCs w:val="24"/>
        </w:rPr>
        <w:t xml:space="preserve">Benefits </w:t>
      </w:r>
      <w:r w:rsidR="00A675CF">
        <w:rPr>
          <w:rFonts w:eastAsia="Times New Roman" w:cs="Times New Roman"/>
          <w:b/>
          <w:bCs/>
          <w:color w:val="0E101A"/>
          <w:szCs w:val="24"/>
        </w:rPr>
        <w:t>a</w:t>
      </w:r>
      <w:r w:rsidR="00A675CF" w:rsidRPr="004D5F01">
        <w:rPr>
          <w:rFonts w:eastAsia="Times New Roman" w:cs="Times New Roman"/>
          <w:b/>
          <w:bCs/>
          <w:color w:val="0E101A"/>
          <w:szCs w:val="24"/>
        </w:rPr>
        <w:t xml:space="preserve">nd Barriers </w:t>
      </w:r>
      <w:r w:rsidR="00A675CF">
        <w:rPr>
          <w:rFonts w:eastAsia="Times New Roman" w:cs="Times New Roman"/>
          <w:b/>
          <w:bCs/>
          <w:color w:val="0E101A"/>
          <w:szCs w:val="24"/>
        </w:rPr>
        <w:t>o</w:t>
      </w:r>
      <w:r w:rsidR="00A675CF" w:rsidRPr="004D5F01">
        <w:rPr>
          <w:rFonts w:eastAsia="Times New Roman" w:cs="Times New Roman"/>
          <w:b/>
          <w:bCs/>
          <w:color w:val="0E101A"/>
          <w:szCs w:val="24"/>
        </w:rPr>
        <w:t xml:space="preserve">f </w:t>
      </w:r>
      <w:r w:rsidR="00A675CF">
        <w:rPr>
          <w:rFonts w:eastAsia="Times New Roman" w:cs="Times New Roman"/>
          <w:b/>
          <w:bCs/>
          <w:color w:val="0E101A"/>
          <w:szCs w:val="24"/>
        </w:rPr>
        <w:t>a</w:t>
      </w:r>
      <w:r w:rsidR="00A675CF" w:rsidRPr="004D5F01">
        <w:rPr>
          <w:rFonts w:eastAsia="Times New Roman" w:cs="Times New Roman"/>
          <w:b/>
          <w:bCs/>
          <w:color w:val="0E101A"/>
          <w:szCs w:val="24"/>
        </w:rPr>
        <w:t xml:space="preserve"> Single Set </w:t>
      </w:r>
      <w:r w:rsidR="00A675CF">
        <w:rPr>
          <w:rFonts w:eastAsia="Times New Roman" w:cs="Times New Roman"/>
          <w:b/>
          <w:bCs/>
          <w:color w:val="0E101A"/>
          <w:szCs w:val="24"/>
        </w:rPr>
        <w:t>o</w:t>
      </w:r>
      <w:r w:rsidR="00A675CF" w:rsidRPr="004D5F01">
        <w:rPr>
          <w:rFonts w:eastAsia="Times New Roman" w:cs="Times New Roman"/>
          <w:b/>
          <w:bCs/>
          <w:color w:val="0E101A"/>
          <w:szCs w:val="24"/>
        </w:rPr>
        <w:t>f Accounting Standards</w:t>
      </w:r>
    </w:p>
    <w:p w14:paraId="354DA0B3" w14:textId="77777777" w:rsidR="004D5F01" w:rsidRPr="004D5F01" w:rsidRDefault="004D5F01" w:rsidP="004D5F01">
      <w:pPr>
        <w:spacing w:after="0"/>
        <w:rPr>
          <w:rFonts w:eastAsia="Times New Roman" w:cs="Times New Roman"/>
          <w:color w:val="0E101A"/>
          <w:szCs w:val="24"/>
        </w:rPr>
      </w:pPr>
      <w:r w:rsidRPr="004D5F01">
        <w:rPr>
          <w:rFonts w:eastAsia="Times New Roman" w:cs="Times New Roman"/>
          <w:color w:val="0E101A"/>
          <w:szCs w:val="24"/>
        </w:rPr>
        <w:lastRenderedPageBreak/>
        <w:t>      A move towards having a single set of accounting standards has various benefits. It will ensure improved comparability between organizations, thereby reducing investor risk and eases cross-border financing along with investment. Also, a single set of accounting standards will aid reduce the cost of preparing combined financial statements for international organizations.</w:t>
      </w:r>
    </w:p>
    <w:p w14:paraId="7E1ABF60" w14:textId="77777777" w:rsidR="004D5F01" w:rsidRPr="004D5F01" w:rsidRDefault="004D5F01" w:rsidP="004D5F01">
      <w:pPr>
        <w:spacing w:after="0"/>
        <w:rPr>
          <w:rFonts w:eastAsia="Times New Roman" w:cs="Times New Roman"/>
          <w:color w:val="0E101A"/>
          <w:szCs w:val="24"/>
        </w:rPr>
      </w:pPr>
      <w:r w:rsidRPr="004D5F01">
        <w:rPr>
          <w:rFonts w:eastAsia="Times New Roman" w:cs="Times New Roman"/>
          <w:color w:val="0E101A"/>
          <w:szCs w:val="24"/>
        </w:rPr>
        <w:t>      Nonetheless, country-specific barriers may prove to be monumental tasks for the convergence and harmonization of a single set of accounting standards. Legal systems within countries are different, which serves as a detriment to using a single set of accounting standards. Some countries have codified law whereby commercial codes or company law have comprehensive financial accounting and reporting (Lucchese &amp; Di Carlo, 2020). On the other hand, some countries have a common law whereby a limited amount of statute law is created by courts into an extensive expanse of case law. Another barrier is taxation. Countries have different forms of taxation used for financial accounting and reporting. For example, in some countries, tax rules are based on the financial reporting rules, while in others, commercial accounting rules are utilized for financial accounting and reporting.</w:t>
      </w:r>
    </w:p>
    <w:p w14:paraId="05BD87A7" w14:textId="77777777" w:rsidR="004D5F01" w:rsidRDefault="004D5F01" w:rsidP="00F4767E">
      <w:pPr>
        <w:ind w:firstLine="720"/>
        <w:jc w:val="center"/>
      </w:pPr>
    </w:p>
    <w:p w14:paraId="2C81BA65" w14:textId="77777777" w:rsidR="00A675CF" w:rsidRDefault="00A675CF" w:rsidP="00F4767E">
      <w:pPr>
        <w:ind w:firstLine="720"/>
        <w:jc w:val="center"/>
        <w:rPr>
          <w:b/>
          <w:bCs/>
        </w:rPr>
      </w:pPr>
    </w:p>
    <w:p w14:paraId="19459010" w14:textId="77777777" w:rsidR="00A675CF" w:rsidRDefault="00A675CF" w:rsidP="00F4767E">
      <w:pPr>
        <w:ind w:firstLine="720"/>
        <w:jc w:val="center"/>
        <w:rPr>
          <w:b/>
          <w:bCs/>
        </w:rPr>
      </w:pPr>
    </w:p>
    <w:p w14:paraId="54C1594E" w14:textId="77777777" w:rsidR="00A675CF" w:rsidRDefault="00A675CF" w:rsidP="00F4767E">
      <w:pPr>
        <w:ind w:firstLine="720"/>
        <w:jc w:val="center"/>
        <w:rPr>
          <w:b/>
          <w:bCs/>
        </w:rPr>
      </w:pPr>
    </w:p>
    <w:p w14:paraId="4C61ABF6" w14:textId="77777777" w:rsidR="00A675CF" w:rsidRDefault="00A675CF" w:rsidP="00F4767E">
      <w:pPr>
        <w:ind w:firstLine="720"/>
        <w:jc w:val="center"/>
        <w:rPr>
          <w:b/>
          <w:bCs/>
        </w:rPr>
      </w:pPr>
    </w:p>
    <w:p w14:paraId="09615CB8" w14:textId="77777777" w:rsidR="00A675CF" w:rsidRDefault="00A675CF" w:rsidP="00F4767E">
      <w:pPr>
        <w:ind w:firstLine="720"/>
        <w:jc w:val="center"/>
        <w:rPr>
          <w:b/>
          <w:bCs/>
        </w:rPr>
      </w:pPr>
    </w:p>
    <w:p w14:paraId="54F78B69" w14:textId="77777777" w:rsidR="00A675CF" w:rsidRDefault="00A675CF" w:rsidP="00F4767E">
      <w:pPr>
        <w:ind w:firstLine="720"/>
        <w:jc w:val="center"/>
        <w:rPr>
          <w:b/>
          <w:bCs/>
        </w:rPr>
      </w:pPr>
    </w:p>
    <w:p w14:paraId="27ED21D8" w14:textId="772EAEDF" w:rsidR="00DE4DFD" w:rsidRPr="004D5F01" w:rsidRDefault="00DE4DFD" w:rsidP="00F4767E">
      <w:pPr>
        <w:ind w:firstLine="720"/>
        <w:jc w:val="center"/>
        <w:rPr>
          <w:b/>
          <w:bCs/>
        </w:rPr>
      </w:pPr>
      <w:r w:rsidRPr="004D5F01">
        <w:rPr>
          <w:b/>
          <w:bCs/>
        </w:rPr>
        <w:lastRenderedPageBreak/>
        <w:t>References</w:t>
      </w:r>
    </w:p>
    <w:p w14:paraId="4F3812B1" w14:textId="77777777" w:rsidR="00DE4DFD" w:rsidRPr="00F8365E" w:rsidRDefault="00DE4DFD" w:rsidP="00F4767E">
      <w:pPr>
        <w:spacing w:after="0"/>
        <w:ind w:left="720" w:hanging="720"/>
        <w:rPr>
          <w:rFonts w:eastAsia="Times New Roman" w:cs="Times New Roman"/>
          <w:szCs w:val="24"/>
        </w:rPr>
      </w:pPr>
      <w:r w:rsidRPr="00F8365E">
        <w:rPr>
          <w:rFonts w:eastAsia="Times New Roman" w:cs="Times New Roman"/>
          <w:szCs w:val="24"/>
        </w:rPr>
        <w:t xml:space="preserve">Lucchese, M., &amp; Di Carlo, F. (2020). Inventories Accounting under US-GAAP and IFRS Standards: The Differences That Hinder the Full Convergence. </w:t>
      </w:r>
      <w:r w:rsidRPr="00F8365E">
        <w:rPr>
          <w:rFonts w:eastAsia="Times New Roman" w:cs="Times New Roman"/>
          <w:i/>
          <w:iCs/>
          <w:szCs w:val="24"/>
        </w:rPr>
        <w:t>International Journal of Business and Management</w:t>
      </w:r>
      <w:r w:rsidRPr="00F8365E">
        <w:rPr>
          <w:rFonts w:eastAsia="Times New Roman" w:cs="Times New Roman"/>
          <w:szCs w:val="24"/>
        </w:rPr>
        <w:t xml:space="preserve">, </w:t>
      </w:r>
      <w:r w:rsidRPr="00F8365E">
        <w:rPr>
          <w:rFonts w:eastAsia="Times New Roman" w:cs="Times New Roman"/>
          <w:i/>
          <w:iCs/>
          <w:szCs w:val="24"/>
        </w:rPr>
        <w:t>15</w:t>
      </w:r>
      <w:r w:rsidRPr="00F8365E">
        <w:rPr>
          <w:rFonts w:eastAsia="Times New Roman" w:cs="Times New Roman"/>
          <w:szCs w:val="24"/>
        </w:rPr>
        <w:t>(7).</w:t>
      </w:r>
    </w:p>
    <w:p w14:paraId="3531E51F" w14:textId="77777777" w:rsidR="00DE4DFD" w:rsidRPr="00F8365E" w:rsidRDefault="00DE4DFD" w:rsidP="00F4767E">
      <w:pPr>
        <w:spacing w:after="0"/>
        <w:ind w:left="720" w:hanging="720"/>
        <w:rPr>
          <w:rFonts w:eastAsia="Times New Roman" w:cs="Times New Roman"/>
          <w:szCs w:val="24"/>
        </w:rPr>
      </w:pPr>
      <w:r w:rsidRPr="00F8365E">
        <w:rPr>
          <w:rFonts w:eastAsia="Times New Roman" w:cs="Times New Roman"/>
          <w:szCs w:val="24"/>
        </w:rPr>
        <w:t>Mota, R. H. G., Oliveira, A. F. D., Niyama, J. K., &amp; Paulo, E. (2020). Standards Based on Principles and Rules: A Comparative Analysis of the IASB and FASB Standards.</w:t>
      </w:r>
    </w:p>
    <w:p w14:paraId="787C454D" w14:textId="77777777" w:rsidR="00DE4DFD" w:rsidRPr="00DE4DFD" w:rsidRDefault="00DE4DFD" w:rsidP="00156534"/>
    <w:sectPr w:rsidR="00DE4DFD" w:rsidRPr="00DE4DFD" w:rsidSect="00DE4DF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DC42" w14:textId="77777777" w:rsidR="002457FA" w:rsidRDefault="002457FA" w:rsidP="00DE4DFD">
      <w:pPr>
        <w:spacing w:after="0" w:line="240" w:lineRule="auto"/>
      </w:pPr>
      <w:r>
        <w:separator/>
      </w:r>
    </w:p>
  </w:endnote>
  <w:endnote w:type="continuationSeparator" w:id="0">
    <w:p w14:paraId="13679F5D" w14:textId="77777777" w:rsidR="002457FA" w:rsidRDefault="002457FA" w:rsidP="00DE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E64C" w14:textId="77777777" w:rsidR="002457FA" w:rsidRDefault="002457FA" w:rsidP="00DE4DFD">
      <w:pPr>
        <w:spacing w:after="0" w:line="240" w:lineRule="auto"/>
      </w:pPr>
      <w:r>
        <w:separator/>
      </w:r>
    </w:p>
  </w:footnote>
  <w:footnote w:type="continuationSeparator" w:id="0">
    <w:p w14:paraId="43F5429F" w14:textId="77777777" w:rsidR="002457FA" w:rsidRDefault="002457FA" w:rsidP="00DE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26693"/>
      <w:docPartObj>
        <w:docPartGallery w:val="Page Numbers (Top of Page)"/>
        <w:docPartUnique/>
      </w:docPartObj>
    </w:sdtPr>
    <w:sdtEndPr>
      <w:rPr>
        <w:noProof/>
      </w:rPr>
    </w:sdtEndPr>
    <w:sdtContent>
      <w:p w14:paraId="24B6D87C" w14:textId="7AC7FFAD" w:rsidR="00DE4DFD" w:rsidRDefault="00DE4DFD">
        <w:pPr>
          <w:pStyle w:val="Header"/>
          <w:jc w:val="right"/>
        </w:pPr>
        <w:r>
          <w:tab/>
        </w:r>
        <w:r>
          <w:tab/>
        </w:r>
        <w:r>
          <w:fldChar w:fldCharType="begin"/>
        </w:r>
        <w:r>
          <w:instrText xml:space="preserve"> PAGE   \* MERGEFORMAT </w:instrText>
        </w:r>
        <w:r>
          <w:fldChar w:fldCharType="separate"/>
        </w:r>
        <w:r w:rsidR="00B02A5A">
          <w:rPr>
            <w:noProof/>
          </w:rPr>
          <w:t>2</w:t>
        </w:r>
        <w:r>
          <w:rPr>
            <w:noProof/>
          </w:rPr>
          <w:fldChar w:fldCharType="end"/>
        </w:r>
      </w:p>
    </w:sdtContent>
  </w:sdt>
  <w:p w14:paraId="159BC5C5" w14:textId="77777777" w:rsidR="00DE4DFD" w:rsidRDefault="00DE4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986F" w14:textId="42500169" w:rsidR="00DE4DFD" w:rsidRDefault="00DE4DFD">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6B"/>
    <w:rsid w:val="000C625C"/>
    <w:rsid w:val="00156534"/>
    <w:rsid w:val="00185362"/>
    <w:rsid w:val="002061E2"/>
    <w:rsid w:val="002457FA"/>
    <w:rsid w:val="00276BA2"/>
    <w:rsid w:val="002E4B7C"/>
    <w:rsid w:val="00461D77"/>
    <w:rsid w:val="004D5F01"/>
    <w:rsid w:val="00710A9E"/>
    <w:rsid w:val="007A116C"/>
    <w:rsid w:val="007D136B"/>
    <w:rsid w:val="008860C5"/>
    <w:rsid w:val="009357E7"/>
    <w:rsid w:val="00A675CF"/>
    <w:rsid w:val="00B02A5A"/>
    <w:rsid w:val="00C55C53"/>
    <w:rsid w:val="00D675AE"/>
    <w:rsid w:val="00D82D8B"/>
    <w:rsid w:val="00DE4DFD"/>
    <w:rsid w:val="00E67E8A"/>
    <w:rsid w:val="00F4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025"/>
  <w15:chartTrackingRefBased/>
  <w15:docId w15:val="{C7B655E9-87AE-46E8-84DF-C3E28EE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DFD"/>
    <w:rPr>
      <w:rFonts w:ascii="Times New Roman" w:hAnsi="Times New Roman"/>
      <w:sz w:val="24"/>
    </w:rPr>
  </w:style>
  <w:style w:type="paragraph" w:styleId="Footer">
    <w:name w:val="footer"/>
    <w:basedOn w:val="Normal"/>
    <w:link w:val="FooterChar"/>
    <w:uiPriority w:val="99"/>
    <w:unhideWhenUsed/>
    <w:rsid w:val="00DE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DFD"/>
    <w:rPr>
      <w:rFonts w:ascii="Times New Roman" w:hAnsi="Times New Roman"/>
      <w:sz w:val="24"/>
    </w:rPr>
  </w:style>
  <w:style w:type="paragraph" w:styleId="NormalWeb">
    <w:name w:val="Normal (Web)"/>
    <w:basedOn w:val="Normal"/>
    <w:uiPriority w:val="99"/>
    <w:unhideWhenUsed/>
    <w:rsid w:val="00F4767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47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0125">
      <w:bodyDiv w:val="1"/>
      <w:marLeft w:val="0"/>
      <w:marRight w:val="0"/>
      <w:marTop w:val="0"/>
      <w:marBottom w:val="0"/>
      <w:divBdr>
        <w:top w:val="none" w:sz="0" w:space="0" w:color="auto"/>
        <w:left w:val="none" w:sz="0" w:space="0" w:color="auto"/>
        <w:bottom w:val="none" w:sz="0" w:space="0" w:color="auto"/>
        <w:right w:val="none" w:sz="0" w:space="0" w:color="auto"/>
      </w:divBdr>
    </w:div>
    <w:div w:id="7684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 Wangai</cp:lastModifiedBy>
  <cp:revision>2</cp:revision>
  <dcterms:created xsi:type="dcterms:W3CDTF">2021-05-25T18:13:00Z</dcterms:created>
  <dcterms:modified xsi:type="dcterms:W3CDTF">2021-05-25T18:13:00Z</dcterms:modified>
</cp:coreProperties>
</file>